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Cityfeet.com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Cityfeet.com.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www.cityfeet.com.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automatically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Cityfeet.com,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$52,000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CIMLS.com,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www.CIMLS.com.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triplex,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Cityfeet.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4.10 Demo of Other Listing Sites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"https://www.rev.com/transcript-editor/Edit?token=apbdnSs7NQtunHwTAH3Fg1PVtK3QHPHsw0PS9mDCCGOu8tfDPQ85YzXrtt8BTYUkIpVzOreEn-J_36wAvucmbNYwQog&amp;loadFrom=DocumentHeaderDeepLink"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